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EA4275" w14:textId="14D19744" w:rsidR="00872A64" w:rsidRDefault="00872A64" w:rsidP="00872A64">
      <w:pPr>
        <w:spacing w:before="100" w:beforeAutospacing="1" w:after="100" w:afterAutospacing="1" w:line="240" w:lineRule="auto"/>
        <w:rPr>
          <w:rFonts w:asciiTheme="minorBidi" w:eastAsia="Times New Roman" w:hAnsiTheme="minorBidi" w:cstheme="minorBidi"/>
          <w:b/>
          <w:bCs/>
          <w:sz w:val="28"/>
          <w:szCs w:val="28"/>
          <w:lang w:val="en-US"/>
        </w:rPr>
      </w:pPr>
      <w:bookmarkStart w:id="0" w:name="_Hlk198190795"/>
      <w:bookmarkStart w:id="1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24F856CD" wp14:editId="67948FAA">
            <wp:simplePos x="0" y="0"/>
            <wp:positionH relativeFrom="column">
              <wp:posOffset>4714875</wp:posOffset>
            </wp:positionH>
            <wp:positionV relativeFrom="paragraph">
              <wp:posOffset>0</wp:posOffset>
            </wp:positionV>
            <wp:extent cx="1066800" cy="381000"/>
            <wp:effectExtent l="0" t="0" r="0" b="0"/>
            <wp:wrapThrough wrapText="bothSides">
              <wp:wrapPolygon edited="0">
                <wp:start x="0" y="0"/>
                <wp:lineTo x="0" y="20520"/>
                <wp:lineTo x="21214" y="20520"/>
                <wp:lineTo x="21214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1"/>
    </w:p>
    <w:p w14:paraId="7AF8E16A" w14:textId="257B61A8" w:rsidR="00872A64" w:rsidRPr="00872A64" w:rsidRDefault="00872A64" w:rsidP="00872A64">
      <w:pPr>
        <w:spacing w:before="100" w:beforeAutospacing="1" w:after="100" w:afterAutospacing="1" w:line="240" w:lineRule="auto"/>
        <w:rPr>
          <w:rFonts w:asciiTheme="minorBidi" w:eastAsia="Times New Roman" w:hAnsiTheme="minorBidi" w:cstheme="minorBidi"/>
          <w:b/>
          <w:bCs/>
          <w:sz w:val="28"/>
          <w:szCs w:val="28"/>
          <w:lang w:val="en-US"/>
        </w:rPr>
      </w:pPr>
      <w:r w:rsidRPr="00872A64">
        <w:rPr>
          <w:rFonts w:asciiTheme="minorBidi" w:eastAsia="Times New Roman" w:hAnsiTheme="minorBidi" w:cstheme="minorBidi"/>
          <w:b/>
          <w:bCs/>
          <w:sz w:val="28"/>
          <w:szCs w:val="28"/>
          <w:lang w:val="en-US"/>
        </w:rPr>
        <w:t xml:space="preserve">Press Release </w:t>
      </w:r>
    </w:p>
    <w:p w14:paraId="4BADBBC8" w14:textId="5906F52F" w:rsidR="1FAC66BC" w:rsidRPr="00872A64" w:rsidRDefault="000C0B30" w:rsidP="002675E1">
      <w:pPr>
        <w:spacing w:before="100" w:beforeAutospacing="1" w:after="100" w:afterAutospacing="1" w:line="240" w:lineRule="auto"/>
        <w:jc w:val="center"/>
        <w:rPr>
          <w:rFonts w:asciiTheme="minorBidi" w:eastAsia="Times New Roman" w:hAnsiTheme="minorBidi" w:cstheme="minorBidi"/>
          <w:b/>
          <w:bCs/>
          <w:sz w:val="36"/>
          <w:szCs w:val="36"/>
          <w:lang w:val="en-US"/>
        </w:rPr>
      </w:pPr>
      <w:r w:rsidRPr="00872A64">
        <w:rPr>
          <w:rFonts w:asciiTheme="minorBidi" w:eastAsia="Times New Roman" w:hAnsiTheme="minorBidi" w:cstheme="minorBidi"/>
          <w:b/>
          <w:bCs/>
          <w:sz w:val="36"/>
          <w:szCs w:val="36"/>
          <w:lang w:val="en-US"/>
        </w:rPr>
        <w:t xml:space="preserve">APAC Tower Honored with </w:t>
      </w:r>
      <w:proofErr w:type="spellStart"/>
      <w:r w:rsidRPr="00872A64">
        <w:rPr>
          <w:rFonts w:asciiTheme="minorBidi" w:eastAsia="Times New Roman" w:hAnsiTheme="minorBidi" w:cstheme="minorBidi"/>
          <w:b/>
          <w:bCs/>
          <w:sz w:val="36"/>
          <w:szCs w:val="36"/>
          <w:lang w:val="en-US"/>
        </w:rPr>
        <w:t>Fitwel’s</w:t>
      </w:r>
      <w:proofErr w:type="spellEnd"/>
      <w:r w:rsidRPr="00872A64">
        <w:rPr>
          <w:rFonts w:asciiTheme="minorBidi" w:eastAsia="Times New Roman" w:hAnsiTheme="minorBidi" w:cstheme="minorBidi"/>
          <w:b/>
          <w:bCs/>
          <w:sz w:val="36"/>
          <w:szCs w:val="36"/>
          <w:lang w:val="en-US"/>
        </w:rPr>
        <w:t xml:space="preserve"> 202</w:t>
      </w:r>
      <w:r w:rsidR="00D10F49" w:rsidRPr="00872A64">
        <w:rPr>
          <w:rFonts w:asciiTheme="minorBidi" w:eastAsia="Times New Roman" w:hAnsiTheme="minorBidi" w:cstheme="minorBidi"/>
          <w:b/>
          <w:bCs/>
          <w:sz w:val="36"/>
          <w:szCs w:val="36"/>
          <w:lang w:val="en-US"/>
        </w:rPr>
        <w:t>5</w:t>
      </w:r>
      <w:r w:rsidRPr="00872A64">
        <w:rPr>
          <w:rFonts w:asciiTheme="minorBidi" w:eastAsia="Times New Roman" w:hAnsiTheme="minorBidi" w:cstheme="minorBidi"/>
          <w:b/>
          <w:bCs/>
          <w:sz w:val="36"/>
          <w:szCs w:val="36"/>
          <w:lang w:val="en-US"/>
        </w:rPr>
        <w:t xml:space="preserve"> Best in Building Health Award, Showcasing Commitment to Occupant </w:t>
      </w:r>
      <w:r w:rsidR="00656D35" w:rsidRPr="00872A64">
        <w:rPr>
          <w:rFonts w:asciiTheme="minorBidi" w:eastAsia="Times New Roman" w:hAnsiTheme="minorBidi" w:cstheme="minorBidi"/>
          <w:b/>
          <w:bCs/>
          <w:sz w:val="36"/>
          <w:szCs w:val="36"/>
          <w:lang w:val="en-US"/>
        </w:rPr>
        <w:t xml:space="preserve">Health and </w:t>
      </w:r>
      <w:r w:rsidRPr="00872A64">
        <w:rPr>
          <w:rFonts w:asciiTheme="minorBidi" w:eastAsia="Times New Roman" w:hAnsiTheme="minorBidi" w:cstheme="minorBidi"/>
          <w:b/>
          <w:bCs/>
          <w:sz w:val="36"/>
          <w:szCs w:val="36"/>
          <w:lang w:val="en-US"/>
        </w:rPr>
        <w:t>Well-being</w:t>
      </w:r>
    </w:p>
    <w:bookmarkEnd w:id="0"/>
    <w:p w14:paraId="377779BB" w14:textId="4BFFF9A7" w:rsidR="20764DA5" w:rsidRPr="00872A64" w:rsidRDefault="002675E1" w:rsidP="1FAC66BC">
      <w:pPr>
        <w:spacing w:beforeAutospacing="1" w:afterAutospacing="1" w:line="240" w:lineRule="auto"/>
        <w:jc w:val="center"/>
        <w:rPr>
          <w:rFonts w:asciiTheme="minorBidi" w:hAnsiTheme="minorBidi" w:cstheme="minorBidi"/>
          <w:sz w:val="28"/>
          <w:szCs w:val="28"/>
        </w:rPr>
      </w:pPr>
      <w:r w:rsidRPr="00872A64">
        <w:rPr>
          <w:rFonts w:asciiTheme="minorBidi" w:hAnsiTheme="minorBidi" w:cstheme="minorBidi"/>
          <w:noProof/>
          <w:sz w:val="28"/>
          <w:szCs w:val="28"/>
        </w:rPr>
        <w:drawing>
          <wp:inline distT="0" distB="0" distL="0" distR="0" wp14:anchorId="36194DF1" wp14:editId="488C9B98">
            <wp:extent cx="3952875" cy="2635250"/>
            <wp:effectExtent l="0" t="0" r="9525" b="0"/>
            <wp:docPr id="7923599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359935" name="Picture 79235993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3654" cy="2635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705358" w14:textId="75C49E33" w:rsidR="00EC17EA" w:rsidRPr="00872A64" w:rsidRDefault="00872A64" w:rsidP="00872A64">
      <w:pPr>
        <w:autoSpaceDE w:val="0"/>
        <w:autoSpaceDN w:val="0"/>
        <w:adjustRightInd w:val="0"/>
        <w:spacing w:line="240" w:lineRule="auto"/>
        <w:rPr>
          <w:rFonts w:asciiTheme="minorBidi" w:eastAsiaTheme="minorHAnsi" w:hAnsiTheme="minorBidi" w:cstheme="minorBidi"/>
          <w:sz w:val="28"/>
          <w:szCs w:val="28"/>
          <w:lang w:val="en-US"/>
        </w:rPr>
      </w:pPr>
      <w:r>
        <w:rPr>
          <w:rFonts w:asciiTheme="minorBidi" w:eastAsiaTheme="minorHAnsi" w:hAnsiTheme="minorBidi" w:cstheme="minorBidi"/>
          <w:i/>
          <w:iCs/>
          <w:sz w:val="28"/>
          <w:szCs w:val="28"/>
          <w:lang w:val="en-US"/>
        </w:rPr>
        <w:tab/>
      </w:r>
      <w:r w:rsidR="00EC17EA" w:rsidRPr="00872A64">
        <w:rPr>
          <w:rFonts w:asciiTheme="minorBidi" w:eastAsiaTheme="minorHAnsi" w:hAnsiTheme="minorBidi" w:cstheme="minorBidi"/>
          <w:i/>
          <w:iCs/>
          <w:sz w:val="28"/>
          <w:szCs w:val="28"/>
          <w:lang w:val="en-US"/>
        </w:rPr>
        <w:t>APAC Tower</w:t>
      </w:r>
      <w:r w:rsidR="00EC17EA" w:rsidRPr="00872A64">
        <w:rPr>
          <w:rFonts w:asciiTheme="minorBidi" w:eastAsiaTheme="minorHAnsi" w:hAnsiTheme="minorBidi" w:cstheme="minorBidi"/>
          <w:sz w:val="28"/>
          <w:szCs w:val="28"/>
          <w:lang w:val="en-US"/>
        </w:rPr>
        <w:t xml:space="preserve">, a premier mixed-use development in Bangkok’s Sukhumvit-Midtown district, has earned the prestigious </w:t>
      </w:r>
      <w:r w:rsidR="00EC17EA" w:rsidRPr="00872A64">
        <w:rPr>
          <w:rFonts w:asciiTheme="minorBidi" w:eastAsiaTheme="minorHAnsi" w:hAnsiTheme="minorBidi" w:cstheme="minorBidi"/>
          <w:b/>
          <w:bCs/>
          <w:sz w:val="28"/>
          <w:szCs w:val="28"/>
          <w:lang w:val="en-US"/>
        </w:rPr>
        <w:t xml:space="preserve">2024 </w:t>
      </w:r>
      <w:r w:rsidR="00EC17EA" w:rsidRPr="00872A64">
        <w:rPr>
          <w:rFonts w:asciiTheme="minorBidi" w:eastAsiaTheme="minorHAnsi" w:hAnsiTheme="minorBidi" w:cstheme="minorBidi"/>
          <w:b/>
          <w:bCs/>
          <w:i/>
          <w:iCs/>
          <w:sz w:val="28"/>
          <w:szCs w:val="28"/>
          <w:lang w:val="en-US"/>
        </w:rPr>
        <w:t>Best in Building Health</w:t>
      </w:r>
      <w:r w:rsidR="00EC17EA" w:rsidRPr="00872A64">
        <w:rPr>
          <w:rFonts w:asciiTheme="minorBidi" w:eastAsiaTheme="minorHAnsi" w:hAnsiTheme="minorBidi" w:cstheme="minorBidi"/>
          <w:sz w:val="28"/>
          <w:szCs w:val="28"/>
          <w:lang w:val="en-US"/>
        </w:rPr>
        <w:t xml:space="preserve"> award by </w:t>
      </w:r>
      <w:proofErr w:type="spellStart"/>
      <w:r w:rsidR="00EC17EA" w:rsidRPr="00872A64">
        <w:rPr>
          <w:rFonts w:asciiTheme="minorBidi" w:eastAsiaTheme="minorHAnsi" w:hAnsiTheme="minorBidi" w:cstheme="minorBidi"/>
          <w:b/>
          <w:bCs/>
          <w:sz w:val="28"/>
          <w:szCs w:val="28"/>
          <w:lang w:val="en-US"/>
        </w:rPr>
        <w:t>Fitwel</w:t>
      </w:r>
      <w:proofErr w:type="spellEnd"/>
      <w:r w:rsidR="00EC17EA" w:rsidRPr="00872A64">
        <w:rPr>
          <w:rFonts w:asciiTheme="minorBidi" w:eastAsiaTheme="minorHAnsi" w:hAnsiTheme="minorBidi" w:cstheme="minorBidi"/>
          <w:sz w:val="28"/>
          <w:szCs w:val="28"/>
          <w:lang w:val="en-US"/>
        </w:rPr>
        <w:t>, receiving top honors in two categories:</w:t>
      </w:r>
      <w:r w:rsidRPr="00872A64">
        <w:rPr>
          <w:rFonts w:asciiTheme="minorBidi" w:eastAsiaTheme="minorHAnsi" w:hAnsiTheme="minorBidi" w:cstheme="minorBidi"/>
          <w:sz w:val="28"/>
          <w:szCs w:val="28"/>
          <w:lang w:val="en-US"/>
        </w:rPr>
        <w:t xml:space="preserve"> </w:t>
      </w:r>
    </w:p>
    <w:p w14:paraId="1F3A468A" w14:textId="77777777" w:rsidR="00EC17EA" w:rsidRPr="00872A64" w:rsidRDefault="00EC17EA" w:rsidP="00872A64"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hanging="720"/>
        <w:rPr>
          <w:rFonts w:asciiTheme="minorBidi" w:eastAsiaTheme="minorHAnsi" w:hAnsiTheme="minorBidi" w:cstheme="minorBidi"/>
          <w:sz w:val="28"/>
          <w:szCs w:val="28"/>
          <w:lang w:val="en-US"/>
        </w:rPr>
      </w:pPr>
      <w:r w:rsidRPr="00872A64">
        <w:rPr>
          <w:rFonts w:asciiTheme="minorBidi" w:eastAsiaTheme="minorHAnsi" w:hAnsiTheme="minorBidi" w:cstheme="minorBidi"/>
          <w:b/>
          <w:bCs/>
          <w:sz w:val="28"/>
          <w:szCs w:val="28"/>
          <w:lang w:val="en-US"/>
        </w:rPr>
        <w:t>The Highest Scoring Design for a Multi-Tenant Base Building</w:t>
      </w:r>
    </w:p>
    <w:p w14:paraId="19B0E172" w14:textId="77777777" w:rsidR="00EC17EA" w:rsidRPr="00872A64" w:rsidRDefault="00EC17EA" w:rsidP="00872A64"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40" w:lineRule="auto"/>
        <w:ind w:hanging="720"/>
        <w:rPr>
          <w:rFonts w:asciiTheme="minorBidi" w:eastAsiaTheme="minorHAnsi" w:hAnsiTheme="minorBidi" w:cstheme="minorBidi"/>
          <w:sz w:val="28"/>
          <w:szCs w:val="28"/>
          <w:lang w:val="en-US"/>
        </w:rPr>
      </w:pPr>
      <w:r w:rsidRPr="00872A64">
        <w:rPr>
          <w:rFonts w:asciiTheme="minorBidi" w:eastAsiaTheme="minorHAnsi" w:hAnsiTheme="minorBidi" w:cstheme="minorBidi"/>
          <w:b/>
          <w:bCs/>
          <w:sz w:val="28"/>
          <w:szCs w:val="28"/>
          <w:lang w:val="en-US"/>
        </w:rPr>
        <w:t>The Highest Scoring Design Project</w:t>
      </w:r>
    </w:p>
    <w:p w14:paraId="31C58691" w14:textId="77777777" w:rsidR="00EC17EA" w:rsidRPr="00872A64" w:rsidRDefault="00EC17EA" w:rsidP="00872A64">
      <w:pPr>
        <w:autoSpaceDE w:val="0"/>
        <w:autoSpaceDN w:val="0"/>
        <w:adjustRightInd w:val="0"/>
        <w:spacing w:line="240" w:lineRule="auto"/>
        <w:rPr>
          <w:rFonts w:asciiTheme="minorBidi" w:eastAsiaTheme="minorHAnsi" w:hAnsiTheme="minorBidi" w:cstheme="minorBidi"/>
          <w:sz w:val="28"/>
          <w:szCs w:val="28"/>
          <w:lang w:val="en-US"/>
        </w:rPr>
      </w:pPr>
      <w:r w:rsidRPr="00872A64">
        <w:rPr>
          <w:rFonts w:asciiTheme="minorBidi" w:eastAsiaTheme="minorHAnsi" w:hAnsiTheme="minorBidi" w:cstheme="minorBidi"/>
          <w:sz w:val="28"/>
          <w:szCs w:val="28"/>
          <w:lang w:val="en-US"/>
        </w:rPr>
        <w:t>This recognition highlights APAC Tower’s strong commitment to promoting health and well-being through thoughtful building design and operations.</w:t>
      </w:r>
    </w:p>
    <w:p w14:paraId="3FDEF333" w14:textId="4782FE07" w:rsidR="00EC17EA" w:rsidRPr="00872A64" w:rsidRDefault="00EC17EA" w:rsidP="00872A64">
      <w:pPr>
        <w:spacing w:line="240" w:lineRule="auto"/>
        <w:ind w:firstLine="720"/>
        <w:jc w:val="both"/>
        <w:rPr>
          <w:rFonts w:asciiTheme="minorBidi" w:hAnsiTheme="minorBidi" w:cstheme="minorBidi"/>
          <w:sz w:val="28"/>
          <w:szCs w:val="28"/>
        </w:rPr>
      </w:pPr>
      <w:r w:rsidRPr="00872A64">
        <w:rPr>
          <w:rFonts w:asciiTheme="minorBidi" w:hAnsiTheme="minorBidi" w:cstheme="minorBidi"/>
          <w:sz w:val="28"/>
          <w:szCs w:val="28"/>
        </w:rPr>
        <w:t xml:space="preserve">APAC Tower is the first </w:t>
      </w:r>
      <w:r w:rsidRPr="00872A64">
        <w:rPr>
          <w:rStyle w:val="Strong"/>
          <w:rFonts w:asciiTheme="minorBidi" w:hAnsiTheme="minorBidi" w:cstheme="minorBidi"/>
          <w:sz w:val="28"/>
          <w:szCs w:val="28"/>
        </w:rPr>
        <w:t>Grade A+ office building</w:t>
      </w:r>
      <w:r w:rsidRPr="00872A64">
        <w:rPr>
          <w:rFonts w:asciiTheme="minorBidi" w:hAnsiTheme="minorBidi" w:cstheme="minorBidi"/>
          <w:sz w:val="28"/>
          <w:szCs w:val="28"/>
        </w:rPr>
        <w:t xml:space="preserve"> in Bangkok’s Central Business District to achieve </w:t>
      </w:r>
      <w:proofErr w:type="spellStart"/>
      <w:r w:rsidRPr="00872A64">
        <w:rPr>
          <w:rStyle w:val="Strong"/>
          <w:rFonts w:asciiTheme="minorBidi" w:hAnsiTheme="minorBidi" w:cstheme="minorBidi"/>
          <w:sz w:val="28"/>
          <w:szCs w:val="28"/>
        </w:rPr>
        <w:t>Fitwel’s</w:t>
      </w:r>
      <w:proofErr w:type="spellEnd"/>
      <w:r w:rsidRPr="00872A64">
        <w:rPr>
          <w:rStyle w:val="Strong"/>
          <w:rFonts w:asciiTheme="minorBidi" w:hAnsiTheme="minorBidi" w:cstheme="minorBidi"/>
          <w:sz w:val="28"/>
          <w:szCs w:val="28"/>
        </w:rPr>
        <w:t xml:space="preserve"> highest 3-Star certification</w:t>
      </w:r>
      <w:r w:rsidRPr="00872A64">
        <w:rPr>
          <w:rFonts w:asciiTheme="minorBidi" w:hAnsiTheme="minorBidi" w:cstheme="minorBidi"/>
          <w:sz w:val="28"/>
          <w:szCs w:val="28"/>
        </w:rPr>
        <w:t xml:space="preserve">. Strategically located with </w:t>
      </w:r>
      <w:r w:rsidRPr="00872A64">
        <w:rPr>
          <w:rStyle w:val="Strong"/>
          <w:rFonts w:asciiTheme="minorBidi" w:hAnsiTheme="minorBidi" w:cstheme="minorBidi"/>
          <w:sz w:val="28"/>
          <w:szCs w:val="28"/>
        </w:rPr>
        <w:t xml:space="preserve">direct access to BTS </w:t>
      </w:r>
      <w:proofErr w:type="spellStart"/>
      <w:r w:rsidRPr="00872A64">
        <w:rPr>
          <w:rStyle w:val="Strong"/>
          <w:rFonts w:asciiTheme="minorBidi" w:hAnsiTheme="minorBidi" w:cstheme="minorBidi"/>
          <w:sz w:val="28"/>
          <w:szCs w:val="28"/>
        </w:rPr>
        <w:t>Ekkamai</w:t>
      </w:r>
      <w:proofErr w:type="spellEnd"/>
      <w:r w:rsidRPr="00872A64">
        <w:rPr>
          <w:rStyle w:val="Strong"/>
          <w:rFonts w:asciiTheme="minorBidi" w:hAnsiTheme="minorBidi" w:cstheme="minorBidi"/>
          <w:sz w:val="28"/>
          <w:szCs w:val="28"/>
        </w:rPr>
        <w:t xml:space="preserve"> station</w:t>
      </w:r>
      <w:r w:rsidRPr="00872A64">
        <w:rPr>
          <w:rFonts w:asciiTheme="minorBidi" w:hAnsiTheme="minorBidi" w:cstheme="minorBidi"/>
          <w:sz w:val="28"/>
          <w:szCs w:val="28"/>
        </w:rPr>
        <w:t xml:space="preserve">, the project supports active commuting and seamless connectivity. Inside, </w:t>
      </w:r>
      <w:r w:rsidRPr="00872A64">
        <w:rPr>
          <w:rStyle w:val="Strong"/>
          <w:rFonts w:asciiTheme="minorBidi" w:hAnsiTheme="minorBidi" w:cstheme="minorBidi"/>
          <w:sz w:val="28"/>
          <w:szCs w:val="28"/>
        </w:rPr>
        <w:t>high-performance MERV 14 air filtration systems</w:t>
      </w:r>
      <w:r w:rsidRPr="00872A64">
        <w:rPr>
          <w:rFonts w:asciiTheme="minorBidi" w:hAnsiTheme="minorBidi" w:cstheme="minorBidi"/>
          <w:sz w:val="28"/>
          <w:szCs w:val="28"/>
        </w:rPr>
        <w:t xml:space="preserve"> ensure superior indoor air quality free from PM 2.5, while wellness-driven design elements promote physical movement and social engagement throughout the day.</w:t>
      </w:r>
      <w:r w:rsidR="00872A64">
        <w:rPr>
          <w:rFonts w:asciiTheme="minorBidi" w:hAnsiTheme="minorBidi" w:cstheme="minorBidi"/>
          <w:sz w:val="28"/>
          <w:szCs w:val="28"/>
        </w:rPr>
        <w:t xml:space="preserve"> </w:t>
      </w:r>
      <w:r w:rsidRPr="00872A64">
        <w:rPr>
          <w:rFonts w:asciiTheme="minorBidi" w:eastAsiaTheme="minorHAnsi" w:hAnsiTheme="minorBidi" w:cstheme="minorBidi"/>
          <w:sz w:val="28"/>
          <w:szCs w:val="28"/>
          <w:lang w:val="en-US"/>
        </w:rPr>
        <w:t xml:space="preserve">The achievement was made possible through the collaboration with </w:t>
      </w:r>
      <w:r w:rsidRPr="00872A64">
        <w:rPr>
          <w:rFonts w:asciiTheme="minorBidi" w:eastAsiaTheme="minorHAnsi" w:hAnsiTheme="minorBidi" w:cstheme="minorBidi"/>
          <w:b/>
          <w:bCs/>
          <w:sz w:val="28"/>
          <w:szCs w:val="28"/>
          <w:lang w:val="en-US"/>
        </w:rPr>
        <w:t>SCG Building &amp; Living Care Consulting</w:t>
      </w:r>
      <w:r w:rsidRPr="00872A64">
        <w:rPr>
          <w:rFonts w:asciiTheme="minorBidi" w:eastAsiaTheme="minorHAnsi" w:hAnsiTheme="minorBidi" w:cstheme="minorBidi"/>
          <w:sz w:val="28"/>
          <w:szCs w:val="28"/>
          <w:lang w:val="en-US"/>
        </w:rPr>
        <w:t xml:space="preserve">, which provided expert advisory services on health-centered strategies in alignment with </w:t>
      </w:r>
      <w:proofErr w:type="spellStart"/>
      <w:r w:rsidRPr="00872A64">
        <w:rPr>
          <w:rFonts w:asciiTheme="minorBidi" w:eastAsiaTheme="minorHAnsi" w:hAnsiTheme="minorBidi" w:cstheme="minorBidi"/>
          <w:sz w:val="28"/>
          <w:szCs w:val="28"/>
          <w:lang w:val="en-US"/>
        </w:rPr>
        <w:t>Fitwel’s</w:t>
      </w:r>
      <w:proofErr w:type="spellEnd"/>
      <w:r w:rsidRPr="00872A64">
        <w:rPr>
          <w:rFonts w:asciiTheme="minorBidi" w:eastAsiaTheme="minorHAnsi" w:hAnsiTheme="minorBidi" w:cstheme="minorBidi"/>
          <w:sz w:val="28"/>
          <w:szCs w:val="28"/>
          <w:lang w:val="en-US"/>
        </w:rPr>
        <w:t xml:space="preserve"> rigorous standards. As </w:t>
      </w:r>
      <w:r w:rsidRPr="00872A64">
        <w:rPr>
          <w:rFonts w:asciiTheme="minorBidi" w:eastAsiaTheme="minorHAnsi" w:hAnsiTheme="minorBidi" w:cstheme="minorBidi"/>
          <w:b/>
          <w:bCs/>
          <w:sz w:val="28"/>
          <w:szCs w:val="28"/>
          <w:lang w:val="en-US"/>
        </w:rPr>
        <w:t>Thailand’s only LEED Proven Provider</w:t>
      </w:r>
      <w:r w:rsidRPr="00872A64">
        <w:rPr>
          <w:rFonts w:asciiTheme="minorBidi" w:eastAsiaTheme="minorHAnsi" w:hAnsiTheme="minorBidi" w:cstheme="minorBidi"/>
          <w:sz w:val="28"/>
          <w:szCs w:val="28"/>
          <w:lang w:val="en-US"/>
        </w:rPr>
        <w:t xml:space="preserve"> certified by the U.S. Green Building Council, SCG’s consultancy addressed key areas such as </w:t>
      </w:r>
      <w:r w:rsidRPr="00872A64">
        <w:rPr>
          <w:rFonts w:asciiTheme="minorBidi" w:eastAsiaTheme="minorHAnsi" w:hAnsiTheme="minorBidi" w:cstheme="minorBidi"/>
          <w:b/>
          <w:bCs/>
          <w:sz w:val="28"/>
          <w:szCs w:val="28"/>
          <w:lang w:val="en-US"/>
        </w:rPr>
        <w:t xml:space="preserve">indoor environmental quality, energy and water </w:t>
      </w:r>
      <w:r w:rsidRPr="00872A64">
        <w:rPr>
          <w:rFonts w:asciiTheme="minorBidi" w:eastAsiaTheme="minorHAnsi" w:hAnsiTheme="minorBidi" w:cstheme="minorBidi"/>
          <w:b/>
          <w:bCs/>
          <w:sz w:val="28"/>
          <w:szCs w:val="28"/>
          <w:lang w:val="en-US"/>
        </w:rPr>
        <w:lastRenderedPageBreak/>
        <w:t>efficiency,</w:t>
      </w:r>
      <w:r w:rsidRPr="00872A64">
        <w:rPr>
          <w:rFonts w:asciiTheme="minorBidi" w:eastAsiaTheme="minorHAnsi" w:hAnsiTheme="minorBidi" w:cstheme="minorBidi"/>
          <w:sz w:val="28"/>
          <w:szCs w:val="28"/>
          <w:lang w:val="en-US"/>
        </w:rPr>
        <w:t xml:space="preserve"> and the use of </w:t>
      </w:r>
      <w:r w:rsidRPr="00872A64">
        <w:rPr>
          <w:rFonts w:asciiTheme="minorBidi" w:eastAsiaTheme="minorHAnsi" w:hAnsiTheme="minorBidi" w:cstheme="minorBidi"/>
          <w:b/>
          <w:bCs/>
          <w:sz w:val="28"/>
          <w:szCs w:val="28"/>
          <w:lang w:val="en-US"/>
        </w:rPr>
        <w:t>sustainable materials</w:t>
      </w:r>
      <w:r w:rsidRPr="00872A64">
        <w:rPr>
          <w:rFonts w:asciiTheme="minorBidi" w:eastAsiaTheme="minorHAnsi" w:hAnsiTheme="minorBidi" w:cstheme="minorBidi"/>
          <w:sz w:val="28"/>
          <w:szCs w:val="28"/>
          <w:lang w:val="en-US"/>
        </w:rPr>
        <w:t xml:space="preserve">, supporting APAC Tower’s broader sustainability goals—including its pursuit of </w:t>
      </w:r>
      <w:r w:rsidRPr="00872A64">
        <w:rPr>
          <w:rFonts w:asciiTheme="minorBidi" w:eastAsiaTheme="minorHAnsi" w:hAnsiTheme="minorBidi" w:cstheme="minorBidi"/>
          <w:b/>
          <w:bCs/>
          <w:sz w:val="28"/>
          <w:szCs w:val="28"/>
          <w:lang w:val="en-US"/>
        </w:rPr>
        <w:t>LEED Gold certification</w:t>
      </w:r>
      <w:r w:rsidRPr="00872A64">
        <w:rPr>
          <w:rFonts w:asciiTheme="minorBidi" w:eastAsiaTheme="minorHAnsi" w:hAnsiTheme="minorBidi" w:cstheme="minorBidi"/>
          <w:sz w:val="28"/>
          <w:szCs w:val="28"/>
          <w:lang w:val="en-US"/>
        </w:rPr>
        <w:t>.</w:t>
      </w:r>
    </w:p>
    <w:p w14:paraId="2E60E104" w14:textId="214B3DEE" w:rsidR="00EC17EA" w:rsidRPr="00872A64" w:rsidRDefault="00EC17EA" w:rsidP="00872A64">
      <w:pPr>
        <w:autoSpaceDE w:val="0"/>
        <w:autoSpaceDN w:val="0"/>
        <w:adjustRightInd w:val="0"/>
        <w:spacing w:line="240" w:lineRule="auto"/>
        <w:ind w:firstLine="720"/>
        <w:rPr>
          <w:rFonts w:asciiTheme="minorBidi" w:eastAsiaTheme="minorHAnsi" w:hAnsiTheme="minorBidi" w:cstheme="minorBidi"/>
          <w:sz w:val="28"/>
          <w:szCs w:val="28"/>
          <w:lang w:val="en-US"/>
        </w:rPr>
      </w:pPr>
      <w:r w:rsidRPr="00872A64">
        <w:rPr>
          <w:rFonts w:asciiTheme="minorBidi" w:eastAsiaTheme="minorHAnsi" w:hAnsiTheme="minorBidi" w:cstheme="minorBidi"/>
          <w:sz w:val="28"/>
          <w:szCs w:val="28"/>
          <w:lang w:val="en-US"/>
        </w:rPr>
        <w:t xml:space="preserve">“Our collaboration with SCG Building &amp; Living Care Consulting has been instrumental in bringing our vision of a wellness- and sustainability-driven workplace to life,” said </w:t>
      </w:r>
      <w:proofErr w:type="spellStart"/>
      <w:r w:rsidRPr="00872A64">
        <w:rPr>
          <w:rFonts w:asciiTheme="minorBidi" w:eastAsiaTheme="minorHAnsi" w:hAnsiTheme="minorBidi" w:cstheme="minorBidi"/>
          <w:b/>
          <w:bCs/>
          <w:sz w:val="28"/>
          <w:szCs w:val="28"/>
          <w:lang w:val="en-US"/>
        </w:rPr>
        <w:t>Khun</w:t>
      </w:r>
      <w:proofErr w:type="spellEnd"/>
      <w:r w:rsidRPr="00872A64">
        <w:rPr>
          <w:rFonts w:asciiTheme="minorBidi" w:eastAsiaTheme="minorHAnsi" w:hAnsiTheme="minorBidi" w:cstheme="minorBidi"/>
          <w:b/>
          <w:bCs/>
          <w:sz w:val="28"/>
          <w:szCs w:val="28"/>
          <w:lang w:val="en-US"/>
        </w:rPr>
        <w:t xml:space="preserve"> </w:t>
      </w:r>
      <w:proofErr w:type="spellStart"/>
      <w:r w:rsidRPr="00872A64">
        <w:rPr>
          <w:rFonts w:asciiTheme="minorBidi" w:eastAsiaTheme="minorHAnsi" w:hAnsiTheme="minorBidi" w:cstheme="minorBidi"/>
          <w:b/>
          <w:bCs/>
          <w:sz w:val="28"/>
          <w:szCs w:val="28"/>
          <w:lang w:val="en-US"/>
        </w:rPr>
        <w:t>Yodpol</w:t>
      </w:r>
      <w:proofErr w:type="spellEnd"/>
      <w:r w:rsidRPr="00872A64">
        <w:rPr>
          <w:rFonts w:asciiTheme="minorBidi" w:eastAsiaTheme="minorHAnsi" w:hAnsiTheme="minorBidi" w:cstheme="minorBidi"/>
          <w:b/>
          <w:bCs/>
          <w:sz w:val="28"/>
          <w:szCs w:val="28"/>
          <w:lang w:val="en-US"/>
        </w:rPr>
        <w:t xml:space="preserve"> </w:t>
      </w:r>
      <w:proofErr w:type="spellStart"/>
      <w:r w:rsidRPr="00872A64">
        <w:rPr>
          <w:rFonts w:asciiTheme="minorBidi" w:eastAsiaTheme="minorHAnsi" w:hAnsiTheme="minorBidi" w:cstheme="minorBidi"/>
          <w:b/>
          <w:bCs/>
          <w:sz w:val="28"/>
          <w:szCs w:val="28"/>
          <w:lang w:val="en-US"/>
        </w:rPr>
        <w:t>Akaraphan</w:t>
      </w:r>
      <w:proofErr w:type="spellEnd"/>
      <w:r w:rsidRPr="00872A64">
        <w:rPr>
          <w:rFonts w:asciiTheme="minorBidi" w:eastAsiaTheme="minorHAnsi" w:hAnsiTheme="minorBidi" w:cstheme="minorBidi"/>
          <w:b/>
          <w:bCs/>
          <w:sz w:val="28"/>
          <w:szCs w:val="28"/>
          <w:lang w:val="en-US"/>
        </w:rPr>
        <w:t>, Associate Director</w:t>
      </w:r>
      <w:r w:rsidRPr="00872A64">
        <w:rPr>
          <w:rFonts w:asciiTheme="minorBidi" w:eastAsiaTheme="minorHAnsi" w:hAnsiTheme="minorBidi" w:cstheme="minorBidi"/>
          <w:sz w:val="28"/>
          <w:szCs w:val="28"/>
          <w:lang w:val="en-US"/>
        </w:rPr>
        <w:t xml:space="preserve">, and </w:t>
      </w:r>
      <w:proofErr w:type="spellStart"/>
      <w:r w:rsidRPr="00872A64">
        <w:rPr>
          <w:rFonts w:asciiTheme="minorBidi" w:eastAsiaTheme="minorHAnsi" w:hAnsiTheme="minorBidi" w:cstheme="minorBidi"/>
          <w:b/>
          <w:bCs/>
          <w:sz w:val="28"/>
          <w:szCs w:val="28"/>
          <w:lang w:val="en-US"/>
        </w:rPr>
        <w:t>Khun</w:t>
      </w:r>
      <w:proofErr w:type="spellEnd"/>
      <w:r w:rsidRPr="00872A64">
        <w:rPr>
          <w:rFonts w:asciiTheme="minorBidi" w:eastAsiaTheme="minorHAnsi" w:hAnsiTheme="minorBidi" w:cstheme="minorBidi"/>
          <w:b/>
          <w:bCs/>
          <w:sz w:val="28"/>
          <w:szCs w:val="28"/>
          <w:lang w:val="en-US"/>
        </w:rPr>
        <w:t xml:space="preserve"> Sirin </w:t>
      </w:r>
      <w:proofErr w:type="spellStart"/>
      <w:r w:rsidRPr="00872A64">
        <w:rPr>
          <w:rFonts w:asciiTheme="minorBidi" w:eastAsiaTheme="minorHAnsi" w:hAnsiTheme="minorBidi" w:cstheme="minorBidi"/>
          <w:b/>
          <w:bCs/>
          <w:sz w:val="28"/>
          <w:szCs w:val="28"/>
          <w:lang w:val="en-US"/>
        </w:rPr>
        <w:t>Akaraphan</w:t>
      </w:r>
      <w:proofErr w:type="spellEnd"/>
      <w:r w:rsidRPr="00872A64">
        <w:rPr>
          <w:rFonts w:asciiTheme="minorBidi" w:eastAsiaTheme="minorHAnsi" w:hAnsiTheme="minorBidi" w:cstheme="minorBidi"/>
          <w:b/>
          <w:bCs/>
          <w:sz w:val="28"/>
          <w:szCs w:val="28"/>
          <w:lang w:val="en-US"/>
        </w:rPr>
        <w:t>, Executive Director</w:t>
      </w:r>
      <w:r w:rsidRPr="00872A64">
        <w:rPr>
          <w:rFonts w:asciiTheme="minorBidi" w:eastAsiaTheme="minorHAnsi" w:hAnsiTheme="minorBidi" w:cstheme="minorBidi"/>
          <w:sz w:val="28"/>
          <w:szCs w:val="28"/>
          <w:lang w:val="en-US"/>
        </w:rPr>
        <w:t xml:space="preserve"> of </w:t>
      </w:r>
      <w:r w:rsidRPr="00872A64">
        <w:rPr>
          <w:rFonts w:asciiTheme="minorBidi" w:eastAsiaTheme="minorHAnsi" w:hAnsiTheme="minorBidi" w:cstheme="minorBidi"/>
          <w:b/>
          <w:bCs/>
          <w:sz w:val="28"/>
          <w:szCs w:val="28"/>
          <w:lang w:val="en-US"/>
        </w:rPr>
        <w:t>APAC Land Co., Ltd.</w:t>
      </w:r>
    </w:p>
    <w:p w14:paraId="0EA67B3B" w14:textId="77777777" w:rsidR="00872A64" w:rsidRDefault="00EC17EA" w:rsidP="00872A64">
      <w:pPr>
        <w:spacing w:line="240" w:lineRule="auto"/>
        <w:ind w:firstLine="720"/>
        <w:rPr>
          <w:rFonts w:asciiTheme="minorBidi" w:eastAsia="Times New Roman" w:hAnsiTheme="minorBidi" w:cstheme="minorBidi"/>
          <w:sz w:val="28"/>
          <w:szCs w:val="28"/>
          <w:lang w:val="en-US"/>
        </w:rPr>
      </w:pPr>
      <w:r w:rsidRPr="00872A64">
        <w:rPr>
          <w:rFonts w:asciiTheme="minorBidi" w:eastAsiaTheme="minorHAnsi" w:hAnsiTheme="minorBidi" w:cstheme="minorBidi"/>
          <w:sz w:val="28"/>
          <w:szCs w:val="28"/>
          <w:lang w:val="en-US"/>
        </w:rPr>
        <w:t xml:space="preserve">“Being recognized with two </w:t>
      </w:r>
      <w:proofErr w:type="spellStart"/>
      <w:r w:rsidRPr="00872A64">
        <w:rPr>
          <w:rFonts w:asciiTheme="minorBidi" w:eastAsiaTheme="minorHAnsi" w:hAnsiTheme="minorBidi" w:cstheme="minorBidi"/>
          <w:sz w:val="28"/>
          <w:szCs w:val="28"/>
          <w:lang w:val="en-US"/>
        </w:rPr>
        <w:t>Fitwel</w:t>
      </w:r>
      <w:proofErr w:type="spellEnd"/>
      <w:r w:rsidRPr="00872A64">
        <w:rPr>
          <w:rFonts w:asciiTheme="minorBidi" w:eastAsiaTheme="minorHAnsi" w:hAnsiTheme="minorBidi" w:cstheme="minorBidi"/>
          <w:sz w:val="28"/>
          <w:szCs w:val="28"/>
          <w:lang w:val="en-US"/>
        </w:rPr>
        <w:t xml:space="preserve"> awards reaffirms our commitment to building environments that prioritize the health of both our occupants and the surrounding community.”</w:t>
      </w:r>
    </w:p>
    <w:p w14:paraId="102D7040" w14:textId="77777777" w:rsidR="00872A64" w:rsidRDefault="000C0B30" w:rsidP="00872A64">
      <w:pPr>
        <w:spacing w:line="240" w:lineRule="auto"/>
        <w:ind w:firstLine="720"/>
        <w:rPr>
          <w:rFonts w:asciiTheme="minorBidi" w:eastAsia="Times New Roman" w:hAnsiTheme="minorBidi" w:cstheme="minorBidi"/>
          <w:sz w:val="28"/>
          <w:szCs w:val="28"/>
          <w:lang w:val="en-US"/>
        </w:rPr>
      </w:pPr>
      <w:r w:rsidRPr="00872A64">
        <w:rPr>
          <w:rFonts w:asciiTheme="minorBidi" w:eastAsia="Times New Roman" w:hAnsiTheme="minorBidi" w:cstheme="minorBidi"/>
          <w:sz w:val="28"/>
          <w:szCs w:val="28"/>
          <w:lang w:val="en-US"/>
        </w:rPr>
        <w:t>“APAC Tower is redefining excellence on a global stage. As the highest scoring design for a Multi-Tenant Base Building, this project showcases how visionary leadership can create healthier spaces that truly put people first. Congratulations to APAC Land Co., Ltd. and SCG Building &amp; Living Care Consulting Co., Ltd. on this outstanding achievement.”</w:t>
      </w:r>
    </w:p>
    <w:p w14:paraId="1A262E10" w14:textId="77777777" w:rsidR="00872A64" w:rsidRDefault="000C0B30" w:rsidP="00872A64">
      <w:pPr>
        <w:spacing w:line="240" w:lineRule="auto"/>
        <w:ind w:firstLine="720"/>
        <w:rPr>
          <w:rFonts w:asciiTheme="minorBidi" w:eastAsia="Times New Roman" w:hAnsiTheme="minorBidi" w:cstheme="minorBidi"/>
          <w:sz w:val="28"/>
          <w:szCs w:val="28"/>
          <w:lang w:val="en-US"/>
        </w:rPr>
      </w:pPr>
      <w:r w:rsidRPr="00872A64">
        <w:rPr>
          <w:rFonts w:asciiTheme="minorBidi" w:eastAsia="Times New Roman" w:hAnsiTheme="minorBidi" w:cstheme="minorBidi"/>
          <w:sz w:val="28"/>
          <w:szCs w:val="28"/>
          <w:lang w:val="en-US"/>
        </w:rPr>
        <w:t xml:space="preserve"> — Joanna Frank, President &amp; CEO, Center for Active Design and Active Design Advisors, Inc. (</w:t>
      </w:r>
      <w:proofErr w:type="spellStart"/>
      <w:r w:rsidRPr="00872A64">
        <w:rPr>
          <w:rFonts w:asciiTheme="minorBidi" w:eastAsia="Times New Roman" w:hAnsiTheme="minorBidi" w:cstheme="minorBidi"/>
          <w:sz w:val="28"/>
          <w:szCs w:val="28"/>
          <w:lang w:val="en-US"/>
        </w:rPr>
        <w:t>Adai</w:t>
      </w:r>
      <w:proofErr w:type="spellEnd"/>
      <w:r w:rsidRPr="00872A64">
        <w:rPr>
          <w:rFonts w:asciiTheme="minorBidi" w:eastAsia="Times New Roman" w:hAnsiTheme="minorBidi" w:cstheme="minorBidi"/>
          <w:sz w:val="28"/>
          <w:szCs w:val="28"/>
          <w:lang w:val="en-US"/>
        </w:rPr>
        <w:t xml:space="preserve">), operators of </w:t>
      </w:r>
      <w:proofErr w:type="spellStart"/>
      <w:r w:rsidRPr="00872A64">
        <w:rPr>
          <w:rFonts w:asciiTheme="minorBidi" w:eastAsia="Times New Roman" w:hAnsiTheme="minorBidi" w:cstheme="minorBidi"/>
          <w:sz w:val="28"/>
          <w:szCs w:val="28"/>
          <w:lang w:val="en-US"/>
        </w:rPr>
        <w:t>Fitwel</w:t>
      </w:r>
      <w:proofErr w:type="spellEnd"/>
      <w:r w:rsidRPr="00872A64">
        <w:rPr>
          <w:rFonts w:asciiTheme="minorBidi" w:eastAsia="Times New Roman" w:hAnsiTheme="minorBidi" w:cstheme="minorBidi"/>
          <w:sz w:val="28"/>
          <w:szCs w:val="28"/>
          <w:lang w:val="en-US"/>
        </w:rPr>
        <w:t xml:space="preserve"> Certification System</w:t>
      </w:r>
    </w:p>
    <w:p w14:paraId="0A3E32B9" w14:textId="77777777" w:rsidR="00872A64" w:rsidRDefault="000C0B30" w:rsidP="00872A64">
      <w:pPr>
        <w:spacing w:line="240" w:lineRule="auto"/>
        <w:ind w:firstLine="720"/>
        <w:rPr>
          <w:rFonts w:asciiTheme="minorBidi" w:eastAsia="Times New Roman" w:hAnsiTheme="minorBidi" w:cstheme="minorBidi"/>
          <w:sz w:val="28"/>
          <w:szCs w:val="28"/>
          <w:lang w:val="en-US"/>
        </w:rPr>
      </w:pPr>
      <w:r w:rsidRPr="00872A64">
        <w:rPr>
          <w:rFonts w:asciiTheme="minorBidi" w:eastAsia="Times New Roman" w:hAnsiTheme="minorBidi" w:cstheme="minorBidi"/>
          <w:sz w:val="28"/>
          <w:szCs w:val="28"/>
          <w:lang w:val="en-US"/>
        </w:rPr>
        <w:t xml:space="preserve">APAC Tower's recognition by </w:t>
      </w:r>
      <w:proofErr w:type="spellStart"/>
      <w:r w:rsidRPr="00872A64">
        <w:rPr>
          <w:rFonts w:asciiTheme="minorBidi" w:eastAsia="Times New Roman" w:hAnsiTheme="minorBidi" w:cstheme="minorBidi"/>
          <w:sz w:val="28"/>
          <w:szCs w:val="28"/>
          <w:lang w:val="en-US"/>
        </w:rPr>
        <w:t>Fitwel</w:t>
      </w:r>
      <w:proofErr w:type="spellEnd"/>
      <w:r w:rsidRPr="00872A64">
        <w:rPr>
          <w:rFonts w:asciiTheme="minorBidi" w:eastAsia="Times New Roman" w:hAnsiTheme="minorBidi" w:cstheme="minorBidi"/>
          <w:sz w:val="28"/>
          <w:szCs w:val="28"/>
          <w:lang w:val="en-US"/>
        </w:rPr>
        <w:t xml:space="preserve"> not only highlights its commitment to occupant well-being but also sets a benchmark for future developments in the region aiming to integrate health and sustainability into their core design principles.</w:t>
      </w:r>
    </w:p>
    <w:p w14:paraId="35F35969" w14:textId="7711DFB9" w:rsidR="00872A64" w:rsidRPr="00872A64" w:rsidRDefault="00872A64" w:rsidP="00872A64">
      <w:pPr>
        <w:spacing w:line="240" w:lineRule="auto"/>
        <w:ind w:firstLine="720"/>
        <w:jc w:val="center"/>
        <w:rPr>
          <w:rFonts w:asciiTheme="minorBidi" w:eastAsia="Times New Roman" w:hAnsiTheme="minorBidi" w:cstheme="minorBidi"/>
          <w:sz w:val="28"/>
          <w:szCs w:val="28"/>
          <w:lang w:val="en-US"/>
        </w:rPr>
      </w:pPr>
      <w:r>
        <w:rPr>
          <w:rFonts w:asciiTheme="minorBidi" w:eastAsia="Times New Roman" w:hAnsiTheme="minorBidi" w:cstheme="minorBidi"/>
          <w:sz w:val="28"/>
          <w:szCs w:val="28"/>
          <w:lang w:val="en-US"/>
        </w:rPr>
        <w:t>---------------------------------------------------------------------------------------------------------------------------------</w:t>
      </w:r>
    </w:p>
    <w:p w14:paraId="0024E30C" w14:textId="39FFD81F" w:rsidR="00C653F7" w:rsidRPr="00872A64" w:rsidRDefault="00C653F7" w:rsidP="00872A64">
      <w:pPr>
        <w:spacing w:before="100" w:beforeAutospacing="1" w:after="100" w:afterAutospacing="1" w:line="240" w:lineRule="auto"/>
        <w:rPr>
          <w:rFonts w:asciiTheme="minorBidi" w:eastAsia="Times New Roman" w:hAnsiTheme="minorBidi" w:cstheme="minorBidi"/>
          <w:sz w:val="28"/>
          <w:szCs w:val="28"/>
          <w:lang w:val="en-US"/>
        </w:rPr>
      </w:pPr>
      <w:bookmarkStart w:id="2" w:name="_Hlk198193661"/>
      <w:r w:rsidRPr="00872A64">
        <w:rPr>
          <w:rFonts w:asciiTheme="minorBidi" w:eastAsia="Times New Roman" w:hAnsiTheme="minorBidi" w:cstheme="minorBidi"/>
          <w:b/>
          <w:bCs/>
          <w:sz w:val="28"/>
          <w:szCs w:val="28"/>
          <w:lang w:val="en-US"/>
        </w:rPr>
        <w:t>About SCG Building &amp; Living Care Consulting</w:t>
      </w:r>
      <w:r w:rsidRPr="00872A64">
        <w:rPr>
          <w:rFonts w:asciiTheme="minorBidi" w:eastAsia="Times New Roman" w:hAnsiTheme="minorBidi" w:cstheme="minorBidi"/>
          <w:sz w:val="28"/>
          <w:szCs w:val="28"/>
          <w:lang w:val="en-US"/>
        </w:rPr>
        <w:br/>
        <w:t>SCG Building &amp; Living Care Consulting is Thailand’s leading sustainability</w:t>
      </w:r>
      <w:r w:rsidR="001562CD" w:rsidRPr="00872A64">
        <w:rPr>
          <w:rFonts w:asciiTheme="minorBidi" w:eastAsia="Times New Roman" w:hAnsiTheme="minorBidi" w:cstheme="minorBidi"/>
          <w:sz w:val="28"/>
          <w:szCs w:val="28"/>
          <w:lang w:val="en-US"/>
        </w:rPr>
        <w:t xml:space="preserve"> building</w:t>
      </w:r>
      <w:r w:rsidRPr="00872A64">
        <w:rPr>
          <w:rFonts w:asciiTheme="minorBidi" w:eastAsia="Times New Roman" w:hAnsiTheme="minorBidi" w:cstheme="minorBidi"/>
          <w:sz w:val="28"/>
          <w:szCs w:val="28"/>
          <w:lang w:val="en-US"/>
        </w:rPr>
        <w:t xml:space="preserve"> design and engineering consultanc</w:t>
      </w:r>
      <w:r w:rsidR="001562CD" w:rsidRPr="00872A64">
        <w:rPr>
          <w:rFonts w:asciiTheme="minorBidi" w:eastAsia="Times New Roman" w:hAnsiTheme="minorBidi" w:cstheme="minorBidi"/>
          <w:sz w:val="28"/>
          <w:szCs w:val="28"/>
          <w:lang w:val="en-US"/>
        </w:rPr>
        <w:t>y</w:t>
      </w:r>
      <w:r w:rsidRPr="00872A64">
        <w:rPr>
          <w:rFonts w:asciiTheme="minorBidi" w:eastAsia="Times New Roman" w:hAnsiTheme="minorBidi" w:cstheme="minorBidi"/>
          <w:sz w:val="28"/>
          <w:szCs w:val="28"/>
          <w:lang w:val="en-US"/>
        </w:rPr>
        <w:t xml:space="preserve"> </w:t>
      </w:r>
      <w:r w:rsidR="001562CD" w:rsidRPr="00872A64">
        <w:rPr>
          <w:rFonts w:asciiTheme="minorBidi" w:eastAsia="Times New Roman" w:hAnsiTheme="minorBidi" w:cstheme="minorBidi"/>
          <w:sz w:val="28"/>
          <w:szCs w:val="28"/>
          <w:lang w:val="en-US"/>
        </w:rPr>
        <w:t xml:space="preserve">firm </w:t>
      </w:r>
      <w:r w:rsidRPr="00872A64">
        <w:rPr>
          <w:rFonts w:asciiTheme="minorBidi" w:eastAsia="Times New Roman" w:hAnsiTheme="minorBidi" w:cstheme="minorBidi"/>
          <w:sz w:val="28"/>
          <w:szCs w:val="28"/>
          <w:lang w:val="en-US"/>
        </w:rPr>
        <w:t xml:space="preserve">with over a decade of experience and more than 200 certified projects. The company offers advisory services for certifications including LEED, EDGE, TREES, </w:t>
      </w:r>
      <w:proofErr w:type="spellStart"/>
      <w:r w:rsidRPr="00872A64">
        <w:rPr>
          <w:rFonts w:asciiTheme="minorBidi" w:eastAsia="Times New Roman" w:hAnsiTheme="minorBidi" w:cstheme="minorBidi"/>
          <w:sz w:val="28"/>
          <w:szCs w:val="28"/>
          <w:lang w:val="en-US"/>
        </w:rPr>
        <w:t>Fitwel</w:t>
      </w:r>
      <w:proofErr w:type="spellEnd"/>
      <w:r w:rsidRPr="00872A64">
        <w:rPr>
          <w:rFonts w:asciiTheme="minorBidi" w:eastAsia="Times New Roman" w:hAnsiTheme="minorBidi" w:cstheme="minorBidi"/>
          <w:sz w:val="28"/>
          <w:szCs w:val="28"/>
          <w:lang w:val="en-US"/>
        </w:rPr>
        <w:t>, and WELL, along with energy and environmental performance solutions. SCG</w:t>
      </w:r>
      <w:r w:rsidR="004D42BB" w:rsidRPr="00872A64">
        <w:rPr>
          <w:rFonts w:asciiTheme="minorBidi" w:eastAsia="Times New Roman" w:hAnsiTheme="minorBidi" w:cstheme="minorBidi"/>
          <w:sz w:val="28"/>
          <w:szCs w:val="28"/>
          <w:lang w:val="en-US"/>
        </w:rPr>
        <w:t xml:space="preserve"> BLC</w:t>
      </w:r>
      <w:r w:rsidRPr="00872A64">
        <w:rPr>
          <w:rFonts w:asciiTheme="minorBidi" w:eastAsia="Times New Roman" w:hAnsiTheme="minorBidi" w:cstheme="minorBidi"/>
          <w:sz w:val="28"/>
          <w:szCs w:val="28"/>
          <w:lang w:val="en-US"/>
        </w:rPr>
        <w:t xml:space="preserve"> also provides specialized design services focused on decarbonized, healthcare, and wellbeing buildings, integrating architectural insight with technical expertise.</w:t>
      </w:r>
    </w:p>
    <w:p w14:paraId="02EB378F" w14:textId="574A8785" w:rsidR="000C0B30" w:rsidRPr="00872A64" w:rsidRDefault="00C653F7" w:rsidP="00872A64">
      <w:pPr>
        <w:spacing w:before="100" w:beforeAutospacing="1" w:after="100" w:afterAutospacing="1" w:line="240" w:lineRule="auto"/>
        <w:rPr>
          <w:rFonts w:asciiTheme="minorBidi" w:eastAsia="Times New Roman" w:hAnsiTheme="minorBidi" w:cstheme="minorBidi"/>
          <w:sz w:val="28"/>
          <w:szCs w:val="28"/>
          <w:lang w:val="en-US"/>
        </w:rPr>
      </w:pPr>
      <w:r w:rsidRPr="00872A64">
        <w:rPr>
          <w:rFonts w:asciiTheme="minorBidi" w:eastAsia="Times New Roman" w:hAnsiTheme="minorBidi" w:cstheme="minorBidi"/>
          <w:sz w:val="28"/>
          <w:szCs w:val="28"/>
          <w:lang w:val="en-US"/>
        </w:rPr>
        <w:t xml:space="preserve">As the only LEED Proven Provider in Thailand accredited by the U.S. Green Building Council, </w:t>
      </w:r>
      <w:r w:rsidR="004D42BB" w:rsidRPr="00872A64">
        <w:rPr>
          <w:rFonts w:asciiTheme="minorBidi" w:eastAsia="Times New Roman" w:hAnsiTheme="minorBidi" w:cstheme="minorBidi"/>
          <w:sz w:val="28"/>
          <w:szCs w:val="28"/>
          <w:lang w:val="en-US"/>
        </w:rPr>
        <w:t>we</w:t>
      </w:r>
      <w:r w:rsidRPr="00872A64">
        <w:rPr>
          <w:rFonts w:asciiTheme="minorBidi" w:eastAsia="Times New Roman" w:hAnsiTheme="minorBidi" w:cstheme="minorBidi"/>
          <w:sz w:val="28"/>
          <w:szCs w:val="28"/>
          <w:lang w:val="en-US"/>
        </w:rPr>
        <w:t xml:space="preserve"> help developers, asset managers, and investors embed ESG and wellness into their properties. Through its “Pathway to NET ZERO” framework, SCG delivers analysis, cost-benefit insights, and tailored solutions aligned with each project’s sustainability and investment goals.</w:t>
      </w:r>
      <w:bookmarkEnd w:id="2"/>
    </w:p>
    <w:p w14:paraId="62EABBB3" w14:textId="1579B055" w:rsidR="004D42BB" w:rsidRPr="00872A64" w:rsidRDefault="004D42BB" w:rsidP="00872A64">
      <w:pPr>
        <w:rPr>
          <w:rFonts w:asciiTheme="minorBidi" w:eastAsia="Times New Roman" w:hAnsiTheme="minorBidi" w:cstheme="minorBidi"/>
          <w:sz w:val="28"/>
          <w:szCs w:val="28"/>
          <w:lang w:val="en-US"/>
        </w:rPr>
      </w:pPr>
      <w:r w:rsidRPr="00872A64">
        <w:rPr>
          <w:rFonts w:asciiTheme="minorBidi" w:eastAsia="Times New Roman" w:hAnsiTheme="minorBidi" w:cstheme="minorBidi"/>
          <w:sz w:val="28"/>
          <w:szCs w:val="28"/>
          <w:lang w:val="en-US"/>
        </w:rPr>
        <w:t xml:space="preserve">SCG BLC </w:t>
      </w:r>
      <w:proofErr w:type="gramStart"/>
      <w:r w:rsidRPr="00872A64">
        <w:rPr>
          <w:rFonts w:asciiTheme="minorBidi" w:eastAsia="Times New Roman" w:hAnsiTheme="minorBidi" w:cstheme="minorBidi"/>
          <w:sz w:val="28"/>
          <w:szCs w:val="28"/>
          <w:lang w:val="en-US"/>
        </w:rPr>
        <w:t>Contact</w:t>
      </w:r>
      <w:r w:rsidR="00872A64">
        <w:rPr>
          <w:rFonts w:asciiTheme="minorBidi" w:eastAsia="Times New Roman" w:hAnsiTheme="minorBidi" w:cstheme="minorBidi"/>
          <w:sz w:val="28"/>
          <w:szCs w:val="28"/>
          <w:lang w:val="en-US"/>
        </w:rPr>
        <w:t xml:space="preserve">  </w:t>
      </w:r>
      <w:r w:rsidRPr="00872A64">
        <w:rPr>
          <w:rFonts w:asciiTheme="minorBidi" w:eastAsia="Times New Roman" w:hAnsiTheme="minorBidi" w:cstheme="minorBidi"/>
          <w:sz w:val="28"/>
          <w:szCs w:val="28"/>
          <w:lang w:val="en-US"/>
        </w:rPr>
        <w:t>Phone</w:t>
      </w:r>
      <w:proofErr w:type="gramEnd"/>
      <w:r w:rsidRPr="00872A64">
        <w:rPr>
          <w:rFonts w:asciiTheme="minorBidi" w:eastAsia="Times New Roman" w:hAnsiTheme="minorBidi" w:cstheme="minorBidi"/>
          <w:sz w:val="28"/>
          <w:szCs w:val="28"/>
          <w:lang w:val="en-US"/>
        </w:rPr>
        <w:t xml:space="preserve">: </w:t>
      </w:r>
      <w:r w:rsidRPr="00872A64">
        <w:rPr>
          <w:rFonts w:asciiTheme="minorBidi" w:eastAsia="Times New Roman" w:hAnsiTheme="minorBidi" w:cstheme="minorBidi"/>
          <w:sz w:val="28"/>
          <w:szCs w:val="28"/>
          <w:cs/>
          <w:lang w:val="en-US"/>
        </w:rPr>
        <w:t>065 719 7909</w:t>
      </w:r>
      <w:r w:rsidRPr="00872A64">
        <w:rPr>
          <w:rFonts w:asciiTheme="minorBidi" w:eastAsia="Times New Roman" w:hAnsiTheme="minorBidi" w:cstheme="minorBidi"/>
          <w:sz w:val="28"/>
          <w:szCs w:val="28"/>
          <w:lang w:val="en-US"/>
        </w:rPr>
        <w:br/>
        <w:t xml:space="preserve">E-mail: </w:t>
      </w:r>
      <w:hyperlink r:id="rId9" w:history="1">
        <w:r w:rsidRPr="00872A64">
          <w:rPr>
            <w:rStyle w:val="Hyperlink"/>
            <w:rFonts w:asciiTheme="minorBidi" w:eastAsia="Times New Roman" w:hAnsiTheme="minorBidi" w:cstheme="minorBidi"/>
            <w:sz w:val="28"/>
            <w:szCs w:val="28"/>
            <w:lang w:val="en-US"/>
          </w:rPr>
          <w:t>SCGCONSULTING@SCG.COM</w:t>
        </w:r>
      </w:hyperlink>
      <w:r w:rsidRPr="00872A64">
        <w:rPr>
          <w:rFonts w:asciiTheme="minorBidi" w:eastAsia="Times New Roman" w:hAnsiTheme="minorBidi" w:cstheme="minorBidi"/>
          <w:sz w:val="28"/>
          <w:szCs w:val="28"/>
          <w:lang w:val="en-US"/>
        </w:rPr>
        <w:br/>
        <w:t>LINE: @SCGBLC | Facebook: SCG building and Living Care Consulting</w:t>
      </w:r>
      <w:r w:rsidR="00872A64" w:rsidRPr="00872A64">
        <w:rPr>
          <w:rFonts w:asciiTheme="minorBidi" w:eastAsia="Times New Roman" w:hAnsiTheme="minorBidi" w:cstheme="minorBidi"/>
          <w:sz w:val="28"/>
          <w:szCs w:val="28"/>
          <w:lang w:val="en-US"/>
        </w:rPr>
        <w:t xml:space="preserve"> </w:t>
      </w:r>
    </w:p>
    <w:sectPr w:rsidR="004D42BB" w:rsidRPr="00872A6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993CA0" w14:textId="77777777" w:rsidR="009A386D" w:rsidRDefault="009A386D" w:rsidP="000C0B30">
      <w:pPr>
        <w:spacing w:line="240" w:lineRule="auto"/>
      </w:pPr>
      <w:r>
        <w:separator/>
      </w:r>
    </w:p>
  </w:endnote>
  <w:endnote w:type="continuationSeparator" w:id="0">
    <w:p w14:paraId="30771F3E" w14:textId="77777777" w:rsidR="009A386D" w:rsidRDefault="009A386D" w:rsidP="000C0B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5A809" w14:textId="77777777" w:rsidR="000C0B30" w:rsidRDefault="000C0B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EC669" w14:textId="77777777" w:rsidR="000C0B30" w:rsidRDefault="000C0B3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3D3EC" w14:textId="77777777" w:rsidR="000C0B30" w:rsidRDefault="000C0B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E174A" w14:textId="77777777" w:rsidR="009A386D" w:rsidRDefault="009A386D" w:rsidP="000C0B30">
      <w:pPr>
        <w:spacing w:line="240" w:lineRule="auto"/>
      </w:pPr>
      <w:r>
        <w:separator/>
      </w:r>
    </w:p>
  </w:footnote>
  <w:footnote w:type="continuationSeparator" w:id="0">
    <w:p w14:paraId="31A4F67B" w14:textId="77777777" w:rsidR="009A386D" w:rsidRDefault="009A386D" w:rsidP="000C0B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8F396" w14:textId="77777777" w:rsidR="000C0B30" w:rsidRDefault="000C0B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9BBE3" w14:textId="77777777" w:rsidR="000C0B30" w:rsidRDefault="000C0B3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61E4C" w14:textId="77777777" w:rsidR="000C0B30" w:rsidRDefault="000C0B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B30"/>
    <w:rsid w:val="000759D6"/>
    <w:rsid w:val="000C0B30"/>
    <w:rsid w:val="001562CD"/>
    <w:rsid w:val="002675E1"/>
    <w:rsid w:val="002836CF"/>
    <w:rsid w:val="00421FF9"/>
    <w:rsid w:val="004D42BB"/>
    <w:rsid w:val="0064030F"/>
    <w:rsid w:val="00656D35"/>
    <w:rsid w:val="00664674"/>
    <w:rsid w:val="00685E6F"/>
    <w:rsid w:val="007C45D1"/>
    <w:rsid w:val="008468D4"/>
    <w:rsid w:val="00872A64"/>
    <w:rsid w:val="008D34CE"/>
    <w:rsid w:val="009A386D"/>
    <w:rsid w:val="00C44E64"/>
    <w:rsid w:val="00C653F7"/>
    <w:rsid w:val="00D024B3"/>
    <w:rsid w:val="00D10F49"/>
    <w:rsid w:val="00EC17EA"/>
    <w:rsid w:val="00EC287F"/>
    <w:rsid w:val="00F810C0"/>
    <w:rsid w:val="039AFE1D"/>
    <w:rsid w:val="1FAC66BC"/>
    <w:rsid w:val="2076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559BF"/>
  <w15:chartTrackingRefBased/>
  <w15:docId w15:val="{6740C443-A09E-4757-A8A2-FD60E0E0F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0B30"/>
    <w:pPr>
      <w:spacing w:after="0" w:line="276" w:lineRule="auto"/>
    </w:pPr>
    <w:rPr>
      <w:rFonts w:ascii="Arial" w:eastAsia="Arial" w:hAnsi="Arial" w:cs="Arial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0B30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szCs w:val="28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C0B30"/>
  </w:style>
  <w:style w:type="paragraph" w:styleId="Footer">
    <w:name w:val="footer"/>
    <w:basedOn w:val="Normal"/>
    <w:link w:val="FooterChar"/>
    <w:uiPriority w:val="99"/>
    <w:unhideWhenUsed/>
    <w:rsid w:val="000C0B30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szCs w:val="28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0C0B30"/>
  </w:style>
  <w:style w:type="character" w:styleId="Strong">
    <w:name w:val="Strong"/>
    <w:basedOn w:val="DefaultParagraphFont"/>
    <w:uiPriority w:val="22"/>
    <w:qFormat/>
    <w:rsid w:val="00EC17EA"/>
    <w:rPr>
      <w:b/>
      <w:bCs/>
    </w:rPr>
  </w:style>
  <w:style w:type="character" w:styleId="Hyperlink">
    <w:name w:val="Hyperlink"/>
    <w:basedOn w:val="DefaultParagraphFont"/>
    <w:uiPriority w:val="99"/>
    <w:unhideWhenUsed/>
    <w:rsid w:val="00C653F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5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6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CGCONSULTING@SCG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Sarayu Sampeenong</dc:creator>
  <cp:keywords/>
  <dc:description/>
  <cp:lastModifiedBy>Wikarnda Mutitanont</cp:lastModifiedBy>
  <cp:revision>2</cp:revision>
  <dcterms:created xsi:type="dcterms:W3CDTF">2025-05-16T03:35:00Z</dcterms:created>
  <dcterms:modified xsi:type="dcterms:W3CDTF">2025-05-16T03:35:00Z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2025-04-30T08:38:31Z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cc2e2d2e-8411-4951-a1eb-33dc2c837430</vt:lpwstr>
  </property>
  <property fmtid="{D5CDD505-2E9C-101B-9397-08002B2CF9AE}" pid="8" name="MSIP_Label_282ec11f-0307-4ba2-9c7f-1e910abb2b8a_ContentBits">
    <vt:lpwstr>0</vt:lpwstr>
  </property>
  <property fmtid="{D5CDD505-2E9C-101B-9397-08002B2CF9AE}" pid="9" name="MSIP_Label_282ec11f-0307-4ba2-9c7f-1e910abb2b8a_Tag">
    <vt:lpwstr>10, 3, 0, 2</vt:lpwstr>
  </property>
</Properties>
</file>